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DEMONSTRATION OF THE SPIRIT’S POWER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Corinthians 2:1-16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Key Verse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white"/>
          <w:rtl w:val="0"/>
        </w:rPr>
        <w:t xml:space="preserve">“My message and my preaching were not with wise and persuasive words, but with a demonstration of the Spirit’s power”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Read verses 1- 5. What was Paul’s resolution when he was with the Corinthians? (1-2)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How did Paul come to the Corinth? (3) What did he do to demonstrate the Spirit’s power when he preached? (4-5)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ffffff" w:val="clear"/>
        <w:spacing w:after="220" w:before="220" w:line="360" w:lineRule="auto"/>
        <w:ind w:left="0" w:firstLine="0"/>
        <w:contextualSpacing w:val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Read verses 6-9.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whom did Paul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give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message of wisdom? (6) How is God’s wisdom different from the world’s? (7) Wh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 did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rulers of this age do to Jesus when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they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n’t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understand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message of God’s wisdom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(8) To whom does God reveal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wisdom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(9)</w:t>
      </w:r>
    </w:p>
    <w:p w:rsidR="00000000" w:rsidDel="00000000" w:rsidP="00000000" w:rsidRDefault="00000000" w:rsidRPr="00000000">
      <w:pPr>
        <w:shd w:fill="ffffff" w:val="clear"/>
        <w:spacing w:after="160" w:before="0" w:beforeAutospacing="1" w:line="360" w:lineRule="auto"/>
        <w:contextualSpacing w:val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Read verses 10-16.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does the Spirit of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God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do? (10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-11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ow can we understand what God has freely given us? (12)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Who can discern and explain spiritual things? (13, 14) What privileges does the spiritual man have? (15-16)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20" w:before="220" w:line="360" w:lineRule="auto"/>
        <w:ind w:left="220" w:firstLine="0"/>
        <w:contextualSpacing w:val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ffffff" w:val="clear"/>
        <w:spacing w:after="160" w:before="0" w:beforeAutospacing="1" w:line="360" w:lineRule="auto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