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CHRIST SUFFERED IN HIS BODY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 Peter 3:8-4:11</w:t>
      </w:r>
    </w:p>
    <w:p w:rsidR="00000000" w:rsidDel="00000000" w:rsidP="00000000" w:rsidRDefault="00000000" w:rsidRPr="00000000">
      <w:pPr>
        <w:contextualSpacing w:val="0"/>
      </w:pPr>
      <w:r w:rsidDel="00000000" w:rsidR="00000000" w:rsidRPr="00000000">
        <w:rPr>
          <w:sz w:val="24"/>
          <w:szCs w:val="24"/>
          <w:highlight w:val="white"/>
          <w:rtl w:val="0"/>
        </w:rPr>
        <w:t xml:space="preserve">Key Verse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ff0000"/>
          <w:sz w:val="24"/>
          <w:szCs w:val="24"/>
          <w:highlight w:val="white"/>
          <w:rtl w:val="0"/>
        </w:rPr>
        <w:t xml:space="preserve">“Therefore, since Christ suffered in his body, arm yourselves also with the same attitude, because whoever suffers in the body is done with sin.”</w:t>
      </w:r>
    </w:p>
    <w:p w:rsidR="00000000" w:rsidDel="00000000" w:rsidP="00000000" w:rsidRDefault="00000000" w:rsidRPr="00000000">
      <w:pPr>
        <w:ind w:left="440" w:firstLine="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1.</w:t>
        <w:tab/>
        <w:t xml:space="preserve">Read verses 3:8-14. What does Peter exhort the Christian community to do? (8-10)  Why should we do good and seek peace always? (11-13) Why are we blessed when we suffer for doing what is right? (14) </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2.    Read verses 3:15-22. How can we prepare ourselves as the Lord’s witnesses? (15,16) In what respect is suffering for doing good better than suffering for doing evil? (17)  What does Christ’s example reveal about suffering? (18-22)</w:t>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rtl w:val="0"/>
        </w:rPr>
      </w:r>
    </w:p>
    <w:p w:rsidR="00000000" w:rsidDel="00000000" w:rsidP="00000000" w:rsidRDefault="00000000" w:rsidRPr="00000000">
      <w:pPr>
        <w:ind w:hanging="440"/>
        <w:contextualSpacing w:val="0"/>
      </w:pPr>
      <w:r w:rsidDel="00000000" w:rsidR="00000000" w:rsidRPr="00000000">
        <w:rPr>
          <w:sz w:val="24"/>
          <w:szCs w:val="24"/>
          <w:highlight w:val="white"/>
          <w:rtl w:val="0"/>
        </w:rPr>
        <w:t xml:space="preserve">3.    Read verses 4:1-11. Why should we have Jesus’ attitude toward suffering? (1,2) How were our past lives before we knew the gospel? (3-6) What does Peter further encourage us to do? (7-11)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