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ARE CHRIST'S AMBASSADORS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Corinthians 5:11-6:2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Verse 5:20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We are therefore Christ’s ambassadors, as though God were making his appeal through us. We implore you on Christ’s behalf: Be reconciled to God.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5:11-15.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Paul defend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his ministry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(11-12) What compelled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him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love the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 much?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13-14a)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Christ show his love for us? (14b-15a) How should we live from now on? (15b)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verses 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16-19.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is our perspective changed after meeting Christ?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(16-17)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ministry and message has God committed to us through Christ? (18-19)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verse 5: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20-6:2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What is ou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identity and what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should we do on Christ’s behalf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(20) What did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Christ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for our reconciliation? (21)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hat was Paul's final appeal?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(6:1-2)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