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1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TREASURE IN JARS OF CLAY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 Corinthians 4:1-18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Verse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highlight w:val="white"/>
          <w:rtl w:val="0"/>
        </w:rPr>
        <w:t xml:space="preserve">“But we have this treasure in jars of clay to show that this all-surpassing power is from God and not from us.”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1-6.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What attitude did Paul have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he carried out the ministry of the new covenant? (1-2)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Why is the gospel veiled to unbelievers? (3-4) Who was the focus of Paul's message? (5) How does God’s light shine in the hearts of believers? (6)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18"/>
          <w:szCs w:val="18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7-12.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Why did God put this treasure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(light)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 jars of clay? (7)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How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was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od’s surpassing power revealed in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Paul's practical life? (8-9) Why did Paul always carry, in his body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death of Jesus? (10-12)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Verdana" w:cs="Verdana" w:eastAsia="Verdana" w:hAnsi="Verdana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contextualSpacing w:val="0"/>
        <w:jc w:val="left"/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Read verses 13-18.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y was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Paul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confident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about living a victor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ious life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(13-14) Wh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at were the outcomes of P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aul's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believing 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life? (15)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W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hat perspective should we h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ave despite our momentary troubles in serving the gospel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 (16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18)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right="0"/>
        <w:contextualSpacing w:val="0"/>
        <w:jc w:val="left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