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MYSTERY OF CHRIST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Ephesians 3:1-13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Key Verse: 3:6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6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 “Th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is mystery is that through the gospel the Gentiles are heirs together with Israel, members together of one body, and sharers together in the promise in Christ Jesus.”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1. Read verses 1-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 was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 prison? (1-2)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How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did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Paul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know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mystery of Chr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? (3-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Read verse 6-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What is this mystery that Paul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wrote about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? What happened to the Gentiles through the gospel?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(6) How did Paul become a servant of this gospel? (7) What mission had God given him? (8-9)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284" w:hanging="284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Read verses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What is God’s intention and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eternal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purpose through the church? (10-1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What do we gain through faith in Jesus? (12) How did Paul encourage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believers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? (13)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