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ind w:left="450" w:firstLine="0"/>
        <w:contextualSpacing w:val="0"/>
        <w:jc w:val="center"/>
        <w:rPr>
          <w:b w:val="1"/>
          <w:sz w:val="24"/>
          <w:szCs w:val="24"/>
          <w:highlight w:val="white"/>
        </w:rPr>
      </w:pPr>
      <w:r w:rsidDel="00000000" w:rsidR="00000000" w:rsidRPr="00000000">
        <w:rPr>
          <w:b w:val="1"/>
          <w:sz w:val="24"/>
          <w:szCs w:val="24"/>
          <w:highlight w:val="white"/>
          <w:rtl w:val="0"/>
        </w:rPr>
        <w:t xml:space="preserve">JUSTIFIED BY FAITH IN JESUS CHRIST</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left"/>
        <w:rPr>
          <w:sz w:val="24"/>
          <w:szCs w:val="24"/>
          <w:highlight w:val="white"/>
        </w:rPr>
      </w:pPr>
      <w:r w:rsidDel="00000000" w:rsidR="00000000" w:rsidRPr="00000000">
        <w:rPr>
          <w:sz w:val="24"/>
          <w:szCs w:val="24"/>
          <w:highlight w:val="white"/>
          <w:rtl w:val="0"/>
        </w:rPr>
        <w:t xml:space="preserve">Galatians 2:11-21</w:t>
      </w: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Key verse 16a</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center"/>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know that a person is not justified by the works of the law, but by faith in Jesus Christ.”</w:t>
      </w: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jc w:val="both"/>
        <w:rPr>
          <w:sz w:val="24"/>
          <w:szCs w:val="24"/>
          <w:highlight w:val="white"/>
        </w:rPr>
      </w:pPr>
      <w:r w:rsidDel="00000000" w:rsidR="00000000" w:rsidRPr="00000000">
        <w:rPr>
          <w:sz w:val="24"/>
          <w:szCs w:val="24"/>
          <w:highlight w:val="white"/>
          <w:rtl w:val="0"/>
        </w:rPr>
        <w:t xml:space="preserve"> Read verses 11-14. Why did Paul publicly oppose Peter? (11-12) How did Peter’s behavior affect others? (13) How can we act in line with the truth of the gospel? How did Paul rebuke Peter? (14)</w:t>
      </w:r>
    </w:p>
    <w:p w:rsidR="00000000" w:rsidDel="00000000" w:rsidP="00000000" w:rsidRDefault="00000000" w:rsidRPr="00000000">
      <w:pPr>
        <w:pBdr/>
        <w:spacing w:after="160" w:line="3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sz w:val="24"/>
          <w:szCs w:val="24"/>
          <w:highlight w:val="white"/>
        </w:rPr>
      </w:pPr>
      <w:r w:rsidDel="00000000" w:rsidR="00000000" w:rsidRPr="00000000">
        <w:rPr>
          <w:sz w:val="24"/>
          <w:szCs w:val="24"/>
          <w:highlight w:val="white"/>
          <w:rtl w:val="0"/>
        </w:rPr>
        <w:t xml:space="preserve">2.  Read verses 15-18. What difference does Paul highlight between justification by faith and the works of the law? (15-16) How did Paul help those who misunderstood the gospel? (17–18)</w:t>
      </w:r>
    </w:p>
    <w:p w:rsidR="00000000" w:rsidDel="00000000" w:rsidP="00000000" w:rsidRDefault="00000000" w:rsidRPr="00000000">
      <w:pPr>
        <w:pBdr/>
        <w:ind w:left="36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b w:val="1"/>
          <w:sz w:val="24"/>
          <w:szCs w:val="24"/>
          <w:highlight w:val="white"/>
        </w:rPr>
      </w:pPr>
      <w:r w:rsidDel="00000000" w:rsidR="00000000" w:rsidRPr="00000000">
        <w:rPr>
          <w:sz w:val="24"/>
          <w:szCs w:val="24"/>
          <w:highlight w:val="white"/>
          <w:rtl w:val="0"/>
        </w:rPr>
        <w:t xml:space="preserve"> 3.   Read verses 19-21. For what purpose did Paul die to the law? (19) Who lives in those who have been crucified in Christ? (20a) Why is it important for us to live by faith? (20b, 21)?</w:t>
      </w: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