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CHRIST HAS SET US FREE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Galatians 5:1-1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It is for freedom that Christ has set us free. Stand firm, then, and do not let yourselves be burdened again by a yoke of slavery.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160"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Read verses 1-4.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What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did Paul encourage the Galatian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believers to do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(1) 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did he 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ternly say to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them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about the law of circumcision and why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(2-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160"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Read verses 5-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What do we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 eagerly await by faith? (5) What is the only thing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that counts? (6) Describe Paul’s warning to the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Galatians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concerning the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bad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influence of the Judaizers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(7-9)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  Read verses 10-12.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confidence did Paul have about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those ‘troublemakers’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(10)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did Paul stand firm in the truth of the gospel despite offense and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persecution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(11) What was his warning for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agitators? (12)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