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GIVE ME THIS HILL COUNTRY</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Joshua 13:1-15:63</w:t>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Verse: 14:12</w:t>
      </w:r>
    </w:p>
    <w:p w:rsidR="00000000" w:rsidDel="00000000" w:rsidP="00000000" w:rsidRDefault="00000000" w:rsidRPr="00000000" w14:paraId="00000005">
      <w:pPr>
        <w:spacing w:after="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 xml:space="preserve">Now give me this hill country that the Lord promised me that day. You yourself heard then that the Anakites were there and their cities were large and fortified, but, the Lord helping me, I will drive them out just as he said.”</w:t>
      </w:r>
    </w:p>
    <w:p w:rsidR="00000000" w:rsidDel="00000000" w:rsidP="00000000" w:rsidRDefault="00000000" w:rsidRPr="00000000" w14:paraId="00000007">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ind w:left="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76" w:lineRule="auto"/>
        <w:ind w:left="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76" w:lineRule="auto"/>
        <w:ind w:left="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Read 13:1-33. What did the LORD promise Joshua and what last task was given to him? (1-7) Describe the division of the land east of the Jordan, given to the tribe of Reuben, to the tribe of Gad, and to the half-tribe of Manasseh (8-33). </w:t>
      </w:r>
    </w:p>
    <w:p w:rsidR="00000000" w:rsidDel="00000000" w:rsidP="00000000" w:rsidRDefault="00000000" w:rsidRPr="00000000" w14:paraId="0000000C">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2. Read 14:1-15. How was the land west of the Jordan divided? (1-5) Notice the allotment for Caleb.  What can we learn from him? (6-12) How did Joshua bless Caleb? (13-15)</w:t>
      </w:r>
    </w:p>
    <w:p w:rsidR="00000000" w:rsidDel="00000000" w:rsidP="00000000" w:rsidRDefault="00000000" w:rsidRPr="00000000" w14:paraId="00000010">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3. Read 15:1-63. For the allotment of Judah, what are their southern, eastern, northern, and western boundaries? (1-12) When Hebron was given to Caleb, what did he do? (13-19) Describe the towns Judah received (20-63)</w:t>
      </w:r>
    </w:p>
    <w:p w:rsidR="00000000" w:rsidDel="00000000" w:rsidP="00000000" w:rsidRDefault="00000000" w:rsidRPr="00000000" w14:paraId="00000014">
      <w:pPr>
        <w:spacing w:after="0" w:lineRule="auto"/>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