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WHAT THE KINGDOM OF GOD IS LIKE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Mark 4:21-34</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26</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He also said, “This is what the kingdom of God is like. A man scatters seed on the ground</w:t>
      </w:r>
    </w:p>
    <w:p w:rsidR="00000000" w:rsidDel="00000000" w:rsidP="00000000" w:rsidRDefault="00000000" w:rsidRPr="00000000" w14:paraId="00000008">
      <w:pPr>
        <w:jc w:val="center"/>
        <w:rPr>
          <w:color w:val="ff0000"/>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1.</w:t>
        <w:tab/>
        <w:t xml:space="preserve">Read verses 21-25. Where should we put a lamp? (21) What does the lamp represent? What does it mean that whatever is hidden shall be disclosed? (22) Why should we consider what we hear carefully? (23-25)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spacing w:after="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2.    Read verses 26-29. What is the kingdom of God like? (26) How does the seed grow and produces grain? (27, 28) What happens when the grain is ripe? (29)  What can we learn about the kingdom of God? </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3.    Read verses 30-34. What else is the kingdom of God like? (30, 31) How big does it grow (32)? How did Jesus teach the word? (33, 34) Why did he use parables with the crowds and explain everything to His own disciples?</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