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tabs>
          <w:tab w:val="left" w:pos="480"/>
        </w:tabs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 SON IS GIVEN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Isaiah 8:19-9:7</w:t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 9:6</w:t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      “For to us a child is born, to us a son is given, and the government will be on his shoulders. And he will be called Wonderful Counselor, Mighty God, Everlasting Father Prince of Peace.”</w:t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8:19-22. Where did people seek guidance and help? (19) Where should they have sought counsel? (20a) What was the condition of the people without God’s word? (20b-22)</w:t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 Read 9:1-2. What is the good news for those who are in distress and darkness? To what event do these verses look forward? (Mt 4:14-25) </w:t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Read 9:3-5. What are the sources of joy that Isaiah mentions here? How do these things point to Jesus?</w:t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</w:t>
        <w:tab/>
        <w:t xml:space="preserve">Read verse 6-7. Who is the child? What are the meanings of his four names? (6) What are the characteristics of his kingdom? (7a) How will this kingdom be established? (7b)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