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GLORY TO GOD, PEACE TO MEN</w:t>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Luke 2:1-14</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Key Verse 14</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“Glory to God in the highest heaven, and on earth peace to those on whom his favor rests.”</w:t>
      </w:r>
    </w:p>
    <w:p w:rsidR="00000000" w:rsidDel="00000000" w:rsidP="00000000" w:rsidRDefault="00000000" w:rsidRPr="00000000">
      <w:pPr>
        <w:contextualSpacing w:val="0"/>
        <w:jc w:val="center"/>
        <w:rPr>
          <w:color w:val="ff0000"/>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1. Read verses 1-7. Describe the historical background of Jesus’ birth. (1-3) What is the significance of Joseph and Mary’s going to Bethlehem? (4-5; Mic 5:2) What does Jesus’ birth in a manger mean? (6-7; 2 Cor 8:9)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2. Read verses 8-12. Who were the first recipients of the news of Jesus’ birth? (8, 9) How is Jesus’ birth the good news of great joy for all people? (10, 11) What does this sign tell us about God’s work (12)?</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3. Read verses 13-14. How did the heavenly hosts with the angel praise God? (13-14)</w:t>
      </w:r>
      <w:r w:rsidDel="00000000" w:rsidR="00000000" w:rsidRPr="00000000">
        <w:rPr>
          <w:sz w:val="24"/>
          <w:szCs w:val="24"/>
          <w:rtl w:val="0"/>
        </w:rPr>
        <w:t xml:space="preserve"> How d</w:t>
      </w:r>
      <w:r w:rsidDel="00000000" w:rsidR="00000000" w:rsidRPr="00000000">
        <w:rPr>
          <w:sz w:val="24"/>
          <w:szCs w:val="24"/>
          <w:rtl w:val="0"/>
        </w:rPr>
        <w:t xml:space="preserve">oes Jesus’ birth reveal God’s glory and bring peace to those who accept Him?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