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b w:val="1"/>
          <w:sz w:val="24"/>
          <w:szCs w:val="24"/>
          <w:highlight w:val="white"/>
          <w:rtl w:val="0"/>
        </w:rPr>
        <w:t xml:space="preserve">Free Offerings for All the Work</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b w:val="1"/>
          <w:sz w:val="24"/>
          <w:szCs w:val="24"/>
          <w:highlight w:val="white"/>
          <w:rtl w:val="0"/>
        </w:rPr>
        <w:t xml:space="preserve">Exodus 35:4-35</w:t>
      </w:r>
    </w:p>
    <w:p w:rsidR="00000000" w:rsidDel="00000000" w:rsidP="00000000" w:rsidRDefault="00000000" w:rsidRPr="00000000">
      <w:pPr>
        <w:spacing w:line="331.2" w:lineRule="auto"/>
        <w:contextualSpacing w:val="0"/>
      </w:pPr>
      <w:r w:rsidDel="00000000" w:rsidR="00000000" w:rsidRPr="00000000">
        <w:rPr>
          <w:b w:val="1"/>
          <w:sz w:val="24"/>
          <w:szCs w:val="24"/>
          <w:highlight w:val="white"/>
          <w:rtl w:val="0"/>
        </w:rPr>
        <w:t xml:space="preserve">Key verse 29</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color w:val="ff0000"/>
          <w:sz w:val="24"/>
          <w:szCs w:val="24"/>
          <w:highlight w:val="white"/>
          <w:rtl w:val="0"/>
        </w:rPr>
        <w:t xml:space="preserve">“All the Israelite men and women who were willing brought to the Lord freewill offerings for all the work the Lord through Moses had commanded them to do.”</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sz w:val="24"/>
          <w:szCs w:val="24"/>
          <w:highlight w:val="white"/>
          <w:rtl w:val="0"/>
        </w:rPr>
        <w:t xml:space="preserve">1. Read verses 4-9. What did the Lord command to the whole Israelite community through Moses? Why might the Lord have commanded them to bring from what they had and from whoever is willing? (5) What can we learn from God’s commands about offerings?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2. Read verses 10-19. What was the Lord’s command for all who were skilled among them?  What can we learn from the Lord’s wisdom to use a wide variety of tasks from skillful laborers? How can we make a collaborative team effort, using our talents?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sz w:val="24"/>
          <w:szCs w:val="24"/>
          <w:highlight w:val="white"/>
          <w:rtl w:val="0"/>
        </w:rPr>
        <w:t xml:space="preserve">3. Read verses 20-29. How did the whole Israelite community reply? What variety of offerings did they bring to the Lord? What can we learn from their willing and free offerings, along with everyone’s participation? (29)</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sz w:val="24"/>
          <w:szCs w:val="24"/>
          <w:highlight w:val="white"/>
          <w:rtl w:val="0"/>
        </w:rPr>
        <w:t xml:space="preserve">4. Read verses 30-35. What did the Lord do for Bezalel? (30-33) What else had God given him and Oholiab? (34-35) What can we learn from the Lord who chose and equipped them to do the special work of God?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