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8"/>
          <w:szCs w:val="28"/>
          <w:highlight w:val="white"/>
          <w:rtl w:val="0"/>
        </w:rPr>
        <w:t xml:space="preserve">The Key to Knowledge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Luke 11:37-54</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Key verse 52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highlight w:val="white"/>
          <w:rtl w:val="0"/>
        </w:rPr>
        <w:t xml:space="preserve">“Woe to you experts in the law, because you have taken away the key to knowledge. You yourselves have not entered, and you have hindered those who were entering.”</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37 - 41. Who invited Jesus after he had finished speaking? (37) What did he notice about Jesus? (38) How did Jesus rebuke him? (39 - 41) What makes the inside of the cup dirty? (39) Why did Jesus call the Pharisees foolish people? (40) How can we clean ‘everything’?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42 - 45. Why did Jesus say, “Woe to you Pharisees”? (42 - 44) What did Jesus ask them to practice? (42b) How did one of the experts in the law answer Jesus? (45)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46 - 51. What did Jesus say about them? (46-48) In what respect were they held responsible? (49-51)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Read verses 52 - 54. What does it mean by “the key to knowledge” and “taking away the key to knowledge”? (52) What would happen to themselves and others? (52b) How did the Pharisees and the teachers of the law oppose Jesus? (53, 54) What can we learn from this passage?</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