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highlight w:val="white"/>
          <w:rtl w:val="0"/>
        </w:rPr>
        <w:t xml:space="preserve">Fear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Luke 12:1-12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Key Verse 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highlight w:val="white"/>
          <w:rtl w:val="0"/>
        </w:rPr>
        <w:t xml:space="preserve">“But I will show you whom you should fear: Fear him who, after your body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highlight w:val="white"/>
          <w:rtl w:val="0"/>
        </w:rPr>
        <w:t xml:space="preserve">has been killed, has authority to throw you into hell. Yes, I tell you, fear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1-3. Why do you think a large crowd gathered until they were trampling on one another? (John 10:1-2, 14) What did Jesus speak to his disciples first and why? (2, 3) How can we avoid hypocrisy? (2,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4-7. Who do we have to fear and why? (4-5, 2Cor. 5:10) What difference does it make to know that God is the Sovereign LORD? (6-7, John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8-12. Why is it important to acknowledge Jesus publicly? (8, 9) How serious is it to blaspheme against the Holy Spirit? (10) Why should we not worry about how to defend ourselves? (11, 12) What can we learn from Jesus’ warnings and encouragements for his disciples?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