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But Seek His King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uke 12:22-3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But seek his kingdom, and these things will be given to you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22 - 25. What did Jesus tell his disciples not to worry about and why? (22, 23) How did Jesus assure them? (24) How did Jesus explain the uselessness of worrying? (25,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27 - 28. What lesson did Jesus teach them from the wild flowers and the grass of the field? What causes us to worry? (28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 29 - 31. What should we not set our heart on and why? (29, 30) What did Jesus tell his disciples to seek? (31a) What would happen to those who seek God’s kingdom? (31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32 - 34. How does the reward of the Father contrast with the rewards the world offers? How did Jesus teach us to have treasure in heaven? Why is it so important to guard our hearts?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