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Repent or Perish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Luke 13:1-9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5b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jc w:val="center"/>
      </w:pPr>
      <w:r w:rsidDel="00000000" w:rsidR="00000000" w:rsidRPr="00000000">
        <w:rPr>
          <w:rFonts w:ascii="Times New Roman" w:cs="Times New Roman" w:eastAsia="Times New Roman" w:hAnsi="Times New Roman"/>
          <w:sz w:val="24"/>
          <w:szCs w:val="24"/>
          <w:highlight w:val="white"/>
          <w:rtl w:val="0"/>
        </w:rPr>
        <w:t xml:space="preserve">“But unless you repent, you too will all perish.”</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Read verses 1-3. What terrible event involving the Galileans, did some people mention to Jesus?  (1) Why might they have brought this matter to Jesus? How did Jesus answer? (2) What warning did he give? (3) What can we learn from Jesus who instructed them to repent?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4 and 5. What incident did Jesus then speak about? (4a) What conclusion might some have come to about those involved in this tragedy? (4b) Why do you think Jesus repeated the same message for these people to repent? (5)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6 and 7. Why did a man go to a fig tree in his vineyard? (6) Who might “a man” be referring to? What did the man say to the one who took care of the vineyard?  (7) Why did the man now want this tree cut down? (7b) What can we learn from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8 and 9. How long did the man ask the owner to wait (8a)? What effort did he promise to make? (8b) What would happen if the tree still didn’t bear fruit after one year? (9) What can we learn from this passage?</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