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highlight w:val="white"/>
          <w:rtl w:val="0"/>
        </w:rPr>
        <w:t xml:space="preserve">The Rich Man and Lazarus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16:19-31 </w:t>
      </w:r>
    </w:p>
    <w:p w:rsidR="00000000" w:rsidDel="00000000" w:rsidP="00000000" w:rsidRDefault="00000000" w:rsidRPr="00000000">
      <w:pPr>
        <w:contextualSpacing w:val="0"/>
      </w:pPr>
      <w:r w:rsidDel="00000000" w:rsidR="00000000" w:rsidRPr="00000000">
        <w:rPr>
          <w:sz w:val="24"/>
          <w:szCs w:val="24"/>
          <w:rtl w:val="0"/>
        </w:rPr>
        <w:t xml:space="preserve">Key Verse 25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“But Abraham replied, ‘Son, remember that in your lifetime you received your good things, while Lazarus received bad things, but now he is comforted here and you are in agony.’”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19-23. What are the contrasts between the rich man and Lazarus? (19-21) What happened to Lazarus when he died? (22a) What happened to the rich man? (22b-23) What might lead them to two different places? (Rm 2:6-10, Rm 8:18)</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24-26.  What did the rich man request to Father Abraham? (24) What was Abraham's response? (25) What does the great chasm between heaven and hell do? (26) What should we do with our lives in order to avoid the rich man’s destiny?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27-31. What was the rich man’s next request? (27-28) Why did Abraham refuse? (29) What was his reason for his repeated request? (30) Why did Abraham reject his request again? What does this tell us about the importance of listening God’s words? (31, Jn 5:24)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