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left"/>
      </w:pPr>
      <w:r w:rsidDel="00000000" w:rsidR="00000000" w:rsidRPr="00000000">
        <w:rPr>
          <w:b w:val="1"/>
          <w:sz w:val="24"/>
          <w:szCs w:val="24"/>
          <w:rtl w:val="0"/>
        </w:rPr>
        <w:t xml:space="preserve">                                              A Thankful Samaritan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17:11-19 </w:t>
      </w:r>
    </w:p>
    <w:p w:rsidR="00000000" w:rsidDel="00000000" w:rsidP="00000000" w:rsidRDefault="00000000" w:rsidRPr="00000000">
      <w:pPr>
        <w:contextualSpacing w:val="0"/>
      </w:pPr>
      <w:r w:rsidDel="00000000" w:rsidR="00000000" w:rsidRPr="00000000">
        <w:rPr>
          <w:sz w:val="24"/>
          <w:szCs w:val="24"/>
          <w:rtl w:val="0"/>
        </w:rPr>
        <w:t xml:space="preserve">Key Verse: 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“He threw himself at Jesus’ feet and thanked him--and he was a Samaritan.”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11-13. Where was Jesus going and where was he now? (11) Who came to meet Jesus? (12) How did they ask for a help from Jesus? (13) What can we learn from them? </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14. What did Jesus do for the ten leprous men? Why were they told to show themselves to the priests?  (Lev 13:2,17, 45-46; Mt 8:4) How might Jesus’ command to them have been difficult to obey?  What happened when the men obeyed Jesus’ word?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15-16. What did one man do after he saw he was healed? (15) How did he thank Jesus? (16) What can we learn from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 Read verses 17-19. How did Jesus express his disappointment by comparing the other nine men with one thankful foreigner? (17, 18) What blessing did this thankful Samaritan receive? (19) What does this event teach about the importance of being thankful?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