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Whose Son is the Messiah?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20:41-47</w:t>
      </w:r>
    </w:p>
    <w:p w:rsidR="00000000" w:rsidDel="00000000" w:rsidP="00000000" w:rsidRDefault="00000000" w:rsidRPr="00000000">
      <w:pPr>
        <w:contextualSpacing w:val="0"/>
      </w:pPr>
      <w:r w:rsidDel="00000000" w:rsidR="00000000" w:rsidRPr="00000000">
        <w:rPr>
          <w:sz w:val="24"/>
          <w:szCs w:val="24"/>
          <w:rtl w:val="0"/>
        </w:rPr>
        <w:t xml:space="preserve">Key Verse 42b, 43</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jc w:val="center"/>
      </w:pPr>
      <w:r w:rsidDel="00000000" w:rsidR="00000000" w:rsidRPr="00000000">
        <w:rPr>
          <w:rFonts w:ascii="Verdana" w:cs="Verdana" w:eastAsia="Verdana" w:hAnsi="Verdana"/>
          <w:sz w:val="24"/>
          <w:szCs w:val="24"/>
          <w:highlight w:val="white"/>
          <w:rtl w:val="0"/>
        </w:rPr>
        <w:t xml:space="preserve">    </w:t>
      </w:r>
      <w:r w:rsidDel="00000000" w:rsidR="00000000" w:rsidRPr="00000000">
        <w:rPr>
          <w:color w:val="ff0000"/>
          <w:sz w:val="24"/>
          <w:szCs w:val="24"/>
          <w:highlight w:val="white"/>
          <w:rtl w:val="0"/>
        </w:rPr>
        <w:t xml:space="preserve">“‘The Lord said to my Lord: </w:t>
      </w:r>
      <w:r w:rsidDel="00000000" w:rsidR="00000000" w:rsidRPr="00000000">
        <w:rPr>
          <w:color w:val="ff0000"/>
          <w:sz w:val="10"/>
          <w:szCs w:val="10"/>
          <w:highlight w:val="white"/>
          <w:rtl w:val="0"/>
        </w:rPr>
        <w:t xml:space="preserve"> </w:t>
      </w:r>
      <w:r w:rsidDel="00000000" w:rsidR="00000000" w:rsidRPr="00000000">
        <w:rPr>
          <w:color w:val="ff0000"/>
          <w:sz w:val="24"/>
          <w:szCs w:val="24"/>
          <w:highlight w:val="white"/>
          <w:rtl w:val="0"/>
        </w:rPr>
        <w:t xml:space="preserve">“Sit at my right hand until I make your enemies </w:t>
      </w:r>
      <w:r w:rsidDel="00000000" w:rsidR="00000000" w:rsidRPr="00000000">
        <w:rPr>
          <w:color w:val="ff0000"/>
          <w:sz w:val="10"/>
          <w:szCs w:val="10"/>
          <w:highlight w:val="white"/>
          <w:rtl w:val="0"/>
        </w:rPr>
        <w:t xml:space="preserve"> </w:t>
      </w:r>
      <w:r w:rsidDel="00000000" w:rsidR="00000000" w:rsidRPr="00000000">
        <w:rPr>
          <w:color w:val="ff0000"/>
          <w:sz w:val="24"/>
          <w:szCs w:val="24"/>
          <w:highlight w:val="white"/>
          <w:rtl w:val="0"/>
        </w:rPr>
        <w:t xml:space="preserve">a footstool for your feet.”’</w:t>
      </w:r>
      <w:r w:rsidDel="00000000" w:rsidR="00000000" w:rsidRPr="00000000">
        <w:rPr>
          <w:color w:val="ff0000"/>
          <w:sz w:val="15"/>
          <w:szCs w:val="15"/>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41-42. What might have prompted Jesus to say this? (39) What question did Jesus ask them? (41) What did David say about Jesus in Psalm 110? (42) Who are ‘the Lord’ and ‘my Lord’? What does this conversation reveal about who Jesus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43-44. How does the Lord make His enemies a footstool for his feet? (43, Php 2:6-11) What can we learn from his declaration? What was the relationship between David and my ‘Lord’? (44)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before="0" w:beforeAutospacing="1" w:lineRule="auto"/>
        <w:contextualSpacing w:val="0"/>
      </w:pPr>
      <w:r w:rsidDel="00000000" w:rsidR="00000000" w:rsidRPr="00000000">
        <w:rPr>
          <w:sz w:val="24"/>
          <w:szCs w:val="24"/>
          <w:highlight w:val="white"/>
          <w:rtl w:val="0"/>
        </w:rPr>
        <w:t xml:space="preserve">3. Read verses </w:t>
      </w:r>
      <w:r w:rsidDel="00000000" w:rsidR="00000000" w:rsidRPr="00000000">
        <w:rPr>
          <w:sz w:val="24"/>
          <w:szCs w:val="24"/>
          <w:rtl w:val="0"/>
        </w:rPr>
        <w:t xml:space="preserve">45-47. What was Jesus’ warning to His disciples about the teachers of the law? (45-47a) Why will they be punished most severely? (47b) How can we avoid becoming like them?</w:t>
      </w: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