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The New Covenant in My Blood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Luke 22:14-23</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Key verse 20</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“In the same way, after the supper he took the cup, saying, “This cu</w:t>
      </w:r>
      <w:r w:rsidDel="00000000" w:rsidR="00000000" w:rsidRPr="00000000">
        <w:rPr>
          <w:color w:val="ff0000"/>
          <w:sz w:val="24"/>
          <w:szCs w:val="24"/>
          <w:rtl w:val="0"/>
        </w:rPr>
        <w:t xml:space="preserve">p is the new covenant in my blood, which is poured out for you””</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14-16. Why did Jesus eagerly want to share Passover with his disciples before his suffering? (14-15) </w:t>
      </w:r>
      <w:r w:rsidDel="00000000" w:rsidR="00000000" w:rsidRPr="00000000">
        <w:rPr>
          <w:sz w:val="24"/>
          <w:szCs w:val="24"/>
          <w:rtl w:val="0"/>
        </w:rPr>
        <w:t xml:space="preserve">When and where would He eat with them again? (16)</w:t>
      </w: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17-18. What did Jesus do with the cup? (17) What did it mean to take the drink and divide it among themselves after Jesus drank? What did Jesus promise them? (18)</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19-20. What did Jesus do with the bread? (19a) What was the meaning behind this broken bread? (19b) How did Jesus relate the cup with his blood? (20) What can we learn about Jesus who poured out his blood for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4. Read verses 21-23. On what basis did Jesus give a solemn warning in regard to Judas Iscariot? (21-22) How did the disciples respond? (23)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