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8"/>
          <w:rtl w:val="0"/>
        </w:rPr>
        <w:t xml:space="preserve">Go in peace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Luke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8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:40-48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Key V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erse 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48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                  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“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Then he said to her, “Daughter, your faith has healed you. Go in peace.””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0" w:colFirst="0" w:name="h.r8o1alr18swj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" w:colFirst="0" w:name="h.gjdgxs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rPr>
          <w:rFonts w:cs="Arial" w:hAnsi="Arial" w:eastAsia="Arial" w:ascii="Arial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Read verses 40-42a. Who welcom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ed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Jesus when He returned? Why? (40) Who is Jairus? (41) Why d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id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he come and fall at Jesus’ feet? (42a)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rPr>
          <w:rFonts w:cs="Arial" w:hAnsi="Arial" w:eastAsia="Arial" w:ascii="Arial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Read verses 42b-44. As Jesus is on his way, what d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id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the crowds do to Jesus? (42b) In the middle of crowds, who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wa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s there and what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was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her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situation? (43)  What d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id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she do and what happened to her? (44) What can we learn from h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er?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rPr>
          <w:rFonts w:cs="Arial" w:hAnsi="Arial" w:eastAsia="Arial" w:ascii="Arial"/>
        </w:rPr>
      </w:pP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Read verses 45-48. What d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id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Jesus ask? How did Peter answer?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 (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4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5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)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How did Jesus recognize that she had touched his cloak? (46) What can we learn from Jesus who helped her to come out? 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What d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id she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do? (47) Why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was 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important for her to confess what happen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ed</w:t>
      </w:r>
      <w:r w:rsidRPr="00000000" w:rsidR="00000000" w:rsidDel="00000000">
        <w:rPr>
          <w:rFonts w:cs="Arial" w:hAnsi="Arial" w:eastAsia="Arial" w:ascii="Arial"/>
          <w:b w:val="0"/>
          <w:sz w:val="24"/>
          <w:rtl w:val="0"/>
        </w:rPr>
        <w:t xml:space="preserve"> to her?  How did Jesus bless her further? (48)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160" w:line="259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Lk8e_2015Q.docx</dc:title>
</cp:coreProperties>
</file>